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少数民族语言文字保护中心</w:t>
      </w:r>
    </w:p>
    <w:p>
      <w:pPr>
        <w:jc w:val="center"/>
        <w:rPr>
          <w:rFonts w:hint="eastAsia" w:ascii="黑体" w:eastAsia="黑体" w:cs="ArialUnicodeMS"/>
          <w:kern w:val="0"/>
          <w:sz w:val="52"/>
          <w:szCs w:val="52"/>
          <w:lang w:eastAsia="zh-CN"/>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柳州市民语中心概</w:t>
      </w:r>
      <w:r>
        <w:rPr>
          <w:rFonts w:hint="eastAsia" w:ascii="仿宋_GB2312" w:eastAsia="仿宋_GB2312"/>
          <w:b/>
          <w:sz w:val="32"/>
          <w:szCs w:val="32"/>
        </w:rPr>
        <w:t>况</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柳州市民语中心20</w:t>
      </w:r>
      <w:r>
        <w:rPr>
          <w:rFonts w:hint="eastAsia" w:ascii="仿宋_GB2312" w:eastAsia="仿宋_GB2312"/>
          <w:b/>
          <w:sz w:val="32"/>
          <w:szCs w:val="32"/>
        </w:rPr>
        <w:t>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表一：收入支出决算总表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表二：收入决算表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表三：支出决算表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表四：财政拨款收入支出决算总表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表五：一般公共预算财政拨款支出决算表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表六：一般公共预算财政拨款基本支出决算表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表九：国有资本经营预算财政拨款支出决算表</w:t>
      </w:r>
    </w:p>
    <w:p>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柳州市民语中心20</w:t>
      </w:r>
      <w:r>
        <w:rPr>
          <w:rFonts w:hint="eastAsia" w:ascii="仿宋_GB2312" w:eastAsia="仿宋_GB2312"/>
          <w:b/>
          <w:sz w:val="32"/>
          <w:szCs w:val="32"/>
        </w:rPr>
        <w:t>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cs="仿宋_GB2312"/>
          <w:bCs/>
          <w:kern w:val="0"/>
          <w:sz w:val="32"/>
          <w:szCs w:val="32"/>
          <w:lang w:eastAsia="zh-CN"/>
        </w:rPr>
        <w:t>国有资本经营预算财政拨款支出决算情况</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kinsoku/>
        <w:wordWrap/>
        <w:overflowPunct/>
        <w:topLinePunct w:val="0"/>
        <w:bidi w:val="0"/>
        <w:snapToGrid/>
        <w:spacing w:line="580" w:lineRule="exact"/>
        <w:ind w:left="0" w:right="0" w:rightChars="0" w:firstLine="640" w:firstLineChars="200"/>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柳州市民语中心</w:t>
      </w:r>
      <w:r>
        <w:rPr>
          <w:rFonts w:hint="eastAsia" w:ascii="仿宋_GB2312" w:eastAsia="仿宋_GB2312"/>
          <w:b/>
          <w:sz w:val="32"/>
          <w:szCs w:val="32"/>
        </w:rPr>
        <w:t>概况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kinsoku/>
        <w:wordWrap/>
        <w:overflowPunct/>
        <w:topLinePunct w:val="0"/>
        <w:bidi w:val="0"/>
        <w:snapToGrid/>
        <w:spacing w:before="0" w:beforeAutospacing="0" w:afterAutospacing="0" w:line="580" w:lineRule="exact"/>
        <w:ind w:left="0" w:right="0" w:rightChars="0" w:firstLine="640" w:firstLineChars="200"/>
        <w:jc w:val="both"/>
        <w:textAlignment w:val="auto"/>
        <w:rPr>
          <w:rFonts w:hint="eastAsia" w:ascii="宋体" w:hAnsi="宋体" w:eastAsia="宋体" w:cs="宋体"/>
          <w:i w:val="0"/>
          <w:caps w:val="0"/>
          <w:color w:val="333333"/>
          <w:spacing w:val="0"/>
          <w:sz w:val="21"/>
          <w:szCs w:val="21"/>
        </w:rPr>
      </w:pPr>
      <w:r>
        <w:rPr>
          <w:rFonts w:hint="eastAsia" w:ascii="仿宋_GB2312" w:eastAsia="仿宋_GB2312"/>
          <w:sz w:val="32"/>
          <w:szCs w:val="32"/>
          <w:lang w:eastAsia="zh-CN"/>
        </w:rPr>
        <w:t>一、</w:t>
      </w:r>
      <w:r>
        <w:rPr>
          <w:rFonts w:hint="eastAsia" w:ascii="仿宋_GB2312" w:eastAsia="仿宋_GB2312"/>
          <w:sz w:val="32"/>
          <w:szCs w:val="32"/>
        </w:rPr>
        <w:t>主要职能</w:t>
      </w:r>
    </w:p>
    <w:p>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ascii="仿宋_GB2312" w:hAnsi="Helvetica" w:eastAsia="仿宋_GB2312" w:cs="仿宋_GB2312"/>
          <w:bCs/>
          <w:color w:val="333333"/>
          <w:kern w:val="0"/>
          <w:sz w:val="32"/>
          <w:szCs w:val="24"/>
          <w:shd w:val="clear" w:fill="FFFFFF"/>
          <w:lang w:val="en-US" w:eastAsia="zh-CN" w:bidi="ar"/>
        </w:rPr>
        <w:t>（一）贯彻党和国家有关少数民族语言文字工作的方针、政策和法律、法规，负责全市少数民族语言文字工作的规划、协调、监督和管理工作，管理已经国家批准的壮、侗、苗文等文字方案的推行使用和试验的各项事务。</w:t>
      </w:r>
    </w:p>
    <w:p>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（二）负责有关民族语言文字政策法规的宣传教育工作，并对贯彻执行情况进行监督检查。</w:t>
      </w:r>
    </w:p>
    <w:p>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（三）执行上级制定的民族语言文字翻译工作的管理规定，管理本市少数民族语言文字的翻译工作，负责本市使用壮汉两种文字书写牌匾、公章、地名标志、横幅标语等的壮文翻译和审定工作。</w:t>
      </w:r>
    </w:p>
    <w:p>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四）负责全市民族语言文字的理论研讨和学术交流等科研工作。开展壮语地名、古壮字、山歌和壮语方言土语的调查研究，调查了解我市民族语言文字使用情况，搜集整理民族语言文字资料和信息，建立少数民族语言文字资料库和信息系统。负责全市少数民族语言文字规范化、标准化、信息化管理工作。</w:t>
      </w:r>
    </w:p>
    <w:p>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（五）会同有关部门做好民族语言文字干部教育培训工作，开展民族语言文字扫盲培训和社会应用等业务。</w:t>
      </w:r>
    </w:p>
    <w:p>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（六）配合做好民族地区双语教学工作，协助教育行政部门做好壮族地区壮文进学校教学活动，协助做好新闻出版、广播影视、</w:t>
      </w:r>
      <w:r>
        <w:rPr>
          <w:rFonts w:hint="eastAsia" w:ascii="仿宋_GB2312" w:hAnsi="Helvetica" w:eastAsia="仿宋_GB2312" w:cs="仿宋_GB2312"/>
          <w:color w:val="333333"/>
          <w:kern w:val="0"/>
          <w:sz w:val="32"/>
          <w:szCs w:val="32"/>
          <w:shd w:val="clear" w:fill="FFFFFF"/>
          <w:lang w:val="en-US" w:eastAsia="zh-CN" w:bidi="ar"/>
        </w:rPr>
        <w:t>非物质文化遗产、</w:t>
      </w:r>
      <w:r>
        <w:rPr>
          <w:rFonts w:hint="eastAsia" w:ascii="仿宋_GB2312" w:hAnsi="Helvetica" w:eastAsia="仿宋_GB2312" w:cs="仿宋_GB2312"/>
          <w:bCs/>
          <w:color w:val="333333"/>
          <w:kern w:val="0"/>
          <w:sz w:val="32"/>
          <w:szCs w:val="24"/>
          <w:shd w:val="clear" w:fill="FFFFFF"/>
          <w:lang w:val="en-US" w:eastAsia="zh-CN" w:bidi="ar"/>
        </w:rPr>
        <w:t>互联网等涉及少数民族</w:t>
      </w:r>
      <w:r>
        <w:rPr>
          <w:rFonts w:hint="eastAsia" w:ascii="仿宋_GB2312" w:hAnsi="Helvetica" w:eastAsia="仿宋_GB2312" w:cs="仿宋_GB2312"/>
          <w:bCs/>
          <w:color w:val="333333"/>
          <w:kern w:val="0"/>
          <w:sz w:val="32"/>
          <w:szCs w:val="32"/>
          <w:shd w:val="clear" w:fill="FFFFFF"/>
          <w:lang w:val="en-US" w:eastAsia="zh-CN" w:bidi="ar"/>
        </w:rPr>
        <w:t>语言文字方面的管理工作。</w:t>
      </w:r>
    </w:p>
    <w:p>
      <w:pPr>
        <w:pStyle w:val="6"/>
        <w:keepNext w:val="0"/>
        <w:keepLines w:val="0"/>
        <w:pageBreakBefore w:val="0"/>
        <w:widowControl/>
        <w:suppressLineNumbers w:val="0"/>
        <w:kinsoku/>
        <w:wordWrap/>
        <w:overflowPunct/>
        <w:topLinePunct w:val="0"/>
        <w:bidi w:val="0"/>
        <w:snapToGrid/>
        <w:spacing w:before="0" w:beforeAutospacing="0" w:after="0" w:afterAutospacing="0" w:line="580" w:lineRule="exact"/>
        <w:ind w:left="0" w:right="0" w:rightChars="0" w:firstLine="640" w:firstLineChars="200"/>
        <w:textAlignment w:val="auto"/>
        <w:rPr>
          <w:rFonts w:hint="eastAsia" w:ascii="仿宋_GB2312" w:eastAsia="仿宋_GB2312"/>
          <w:sz w:val="32"/>
          <w:szCs w:val="32"/>
        </w:rPr>
      </w:pPr>
      <w:r>
        <w:rPr>
          <w:rFonts w:hint="eastAsia" w:ascii="仿宋_GB2312" w:hAnsi="Times New Roman" w:eastAsia="仿宋_GB2312" w:cs="Times New Roman"/>
          <w:bCs/>
          <w:color w:val="333333"/>
          <w:kern w:val="2"/>
          <w:sz w:val="32"/>
          <w:szCs w:val="32"/>
          <w:shd w:val="clear" w:fill="FFFFFF"/>
          <w:lang w:val="en-US" w:eastAsia="zh-CN" w:bidi="ar"/>
        </w:rPr>
        <w:t>（七）承办领导交办的其他工作。</w:t>
      </w:r>
    </w:p>
    <w:p>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80" w:lineRule="exact"/>
        <w:ind w:left="0" w:right="0" w:rightChars="0" w:firstLine="640" w:firstLineChars="200"/>
        <w:jc w:val="left"/>
        <w:textAlignment w:val="auto"/>
        <w:rPr>
          <w:rFonts w:hint="eastAsia" w:ascii="仿宋_GB2312" w:hAnsi="Times New Roman"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w:t>
      </w:r>
      <w:r>
        <w:rPr>
          <w:rFonts w:hint="eastAsia" w:ascii="仿宋_GB2312" w:eastAsia="仿宋_GB2312" w:cs="Times New Roman"/>
          <w:i w:val="0"/>
          <w:caps w:val="0"/>
          <w:color w:val="333333"/>
          <w:spacing w:val="0"/>
          <w:kern w:val="2"/>
          <w:sz w:val="32"/>
          <w:szCs w:val="32"/>
          <w:lang w:val="en-US" w:eastAsia="zh-CN" w:bidi="ar"/>
        </w:rPr>
        <w:t>少数民族语言文字保护中心</w:t>
      </w:r>
      <w:r>
        <w:rPr>
          <w:rFonts w:hint="eastAsia" w:ascii="仿宋_GB2312" w:hAnsi="Times New Roman" w:eastAsia="仿宋_GB2312" w:cs="Times New Roman"/>
          <w:i w:val="0"/>
          <w:caps w:val="0"/>
          <w:color w:val="333333"/>
          <w:spacing w:val="0"/>
          <w:kern w:val="2"/>
          <w:sz w:val="32"/>
          <w:szCs w:val="32"/>
          <w:lang w:val="en-US" w:eastAsia="zh-CN" w:bidi="ar"/>
        </w:rPr>
        <w:t>设下列内设机构：</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单位：人</w:t>
      </w:r>
    </w:p>
    <w:tbl>
      <w:tblPr>
        <w:tblStyle w:val="7"/>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离休</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退休</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遗属</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w:t>
            </w:r>
            <w:r>
              <w:rPr>
                <w:rFonts w:hint="eastAsia" w:ascii="仿宋_GB2312" w:eastAsia="仿宋_GB2312" w:cs="Times New Roman"/>
                <w:i w:val="0"/>
                <w:caps w:val="0"/>
                <w:color w:val="333333"/>
                <w:spacing w:val="0"/>
                <w:kern w:val="2"/>
                <w:sz w:val="32"/>
                <w:szCs w:val="32"/>
                <w:lang w:val="en-US" w:eastAsia="zh-CN" w:bidi="ar"/>
              </w:rPr>
              <w:t>少数民族语言文字保护中心</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highlight w:val="none"/>
                <w:lang w:val="en-US" w:eastAsia="zh-CN"/>
              </w:rPr>
            </w:pPr>
            <w:r>
              <w:rPr>
                <w:rFonts w:hint="eastAsia" w:ascii="仿宋_GB2312" w:hAnsi="黑体" w:eastAsia="仿宋_GB2312"/>
                <w:color w:val="000000"/>
                <w:kern w:val="2"/>
                <w:sz w:val="30"/>
                <w:szCs w:val="30"/>
                <w:highlight w:val="none"/>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lang w:val="en-US" w:eastAsia="zh-CN"/>
              </w:rPr>
            </w:pPr>
            <w:r>
              <w:rPr>
                <w:rFonts w:hint="eastAsia" w:ascii="仿宋_GB2312" w:hAnsi="黑体" w:eastAsia="仿宋_GB2312"/>
                <w:color w:val="000000"/>
                <w:kern w:val="2"/>
                <w:sz w:val="30"/>
                <w:szCs w:val="30"/>
                <w:highlight w:val="none"/>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bl>
    <w:p>
      <w:pPr>
        <w:pStyle w:val="2"/>
        <w:jc w:val="both"/>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柳州市民语中心</w:t>
      </w:r>
      <w:r>
        <w:rPr>
          <w:rFonts w:hint="eastAsia" w:ascii="仿宋_GB2312" w:eastAsia="仿宋_GB2312"/>
          <w:b/>
          <w:sz w:val="32"/>
          <w:szCs w:val="32"/>
        </w:rPr>
        <w:t>2020年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val="0"/>
          <w:kern w:val="0"/>
          <w:sz w:val="36"/>
          <w:szCs w:val="36"/>
          <w:lang w:val="en-US" w:eastAsia="zh-CN" w:bidi="ar-SA"/>
        </w:rPr>
      </w:pPr>
      <w:r>
        <w:rPr>
          <w:rFonts w:hint="eastAsia" w:ascii="仿宋_GB2312" w:hAnsi="仿宋_GB2312" w:eastAsia="仿宋_GB2312" w:cs="仿宋_GB2312"/>
          <w:b w:val="0"/>
          <w:bCs w:val="0"/>
          <w:kern w:val="0"/>
          <w:sz w:val="36"/>
          <w:szCs w:val="36"/>
          <w:lang w:val="en-US" w:eastAsia="zh-CN" w:bidi="ar-SA"/>
        </w:rPr>
        <w:t>表一：收入支出决算总表</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 xml:space="preserve">                                                                    单位：万元</w:t>
      </w:r>
    </w:p>
    <w:tbl>
      <w:tblPr>
        <w:tblStyle w:val="7"/>
        <w:tblW w:w="8720" w:type="dxa"/>
        <w:jc w:val="center"/>
        <w:tblLayout w:type="fixed"/>
        <w:tblCellMar>
          <w:top w:w="0" w:type="dxa"/>
          <w:left w:w="108" w:type="dxa"/>
          <w:bottom w:w="0" w:type="dxa"/>
          <w:right w:w="108" w:type="dxa"/>
        </w:tblCellMar>
      </w:tblPr>
      <w:tblGrid>
        <w:gridCol w:w="2895"/>
        <w:gridCol w:w="1085"/>
        <w:gridCol w:w="3123"/>
        <w:gridCol w:w="1617"/>
      </w:tblGrid>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收    入</w:t>
            </w:r>
          </w:p>
        </w:tc>
        <w:tc>
          <w:tcPr>
            <w:tcW w:w="47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w:t>
            </w:r>
          </w:p>
        </w:tc>
        <w:tc>
          <w:tcPr>
            <w:tcW w:w="161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一、一般公共服务支出</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89.87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三、教育支出</w:t>
            </w:r>
            <w:bookmarkStart w:id="0" w:name="_GoBack"/>
            <w:bookmarkEnd w:id="0"/>
          </w:p>
        </w:tc>
        <w:tc>
          <w:tcPr>
            <w:tcW w:w="161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w:t>
            </w:r>
            <w:r>
              <w:rPr>
                <w:rFonts w:hint="eastAsia" w:ascii="仿宋_GB2312" w:hAnsi="仿宋_GB2312" w:eastAsia="仿宋_GB2312" w:cs="仿宋_GB2312"/>
                <w:color w:val="000000"/>
                <w:kern w:val="0"/>
                <w:sz w:val="22"/>
                <w:szCs w:val="22"/>
                <w:lang w:eastAsia="zh-CN"/>
              </w:rPr>
              <w:t>社会保障和就业支出</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7.86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五、</w:t>
            </w:r>
            <w:r>
              <w:rPr>
                <w:rFonts w:hint="eastAsia" w:ascii="仿宋_GB2312" w:hAnsi="仿宋_GB2312" w:eastAsia="仿宋_GB2312" w:cs="仿宋_GB2312"/>
                <w:color w:val="000000"/>
                <w:kern w:val="0"/>
                <w:sz w:val="22"/>
                <w:szCs w:val="22"/>
                <w:lang w:eastAsia="zh-CN"/>
              </w:rPr>
              <w:t>卫生健康支出</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4.25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五、</w:t>
            </w:r>
            <w:r>
              <w:rPr>
                <w:rFonts w:hint="eastAsia" w:ascii="仿宋_GB2312" w:hAnsi="仿宋_GB2312" w:eastAsia="仿宋_GB2312" w:cs="仿宋_GB2312"/>
                <w:color w:val="000000"/>
                <w:kern w:val="0"/>
                <w:sz w:val="22"/>
                <w:szCs w:val="22"/>
                <w:lang w:eastAsia="zh-CN"/>
              </w:rPr>
              <w:t>住房保障支出</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7.34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w:t>
            </w:r>
          </w:p>
        </w:tc>
        <w:tc>
          <w:tcPr>
            <w:tcW w:w="161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161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61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12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本年支出合计</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109.32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结余分配</w:t>
            </w:r>
          </w:p>
        </w:tc>
        <w:tc>
          <w:tcPr>
            <w:tcW w:w="161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0.91</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年末结转与结余</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39.41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61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c>
          <w:tcPr>
            <w:tcW w:w="312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支出总计</w:t>
            </w:r>
          </w:p>
        </w:tc>
        <w:tc>
          <w:tcPr>
            <w:tcW w:w="16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r>
    </w:tbl>
    <w:p>
      <w:pPr>
        <w:rPr>
          <w:rFonts w:hint="eastAsia" w:ascii="仿宋_GB2312" w:hAnsi="仿宋_GB2312" w:eastAsia="仿宋_GB2312" w:cs="仿宋_GB2312"/>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rPr>
        <w:t>注：本表反映部门本年度的总收支和年末结转结余情况。</w:t>
      </w:r>
    </w:p>
    <w:p>
      <w:pPr>
        <w:jc w:val="center"/>
        <w:rPr>
          <w:rFonts w:hint="eastAsia" w:ascii="仿宋_GB2312" w:hAnsi="仿宋_GB2312" w:eastAsia="仿宋_GB2312" w:cs="仿宋_GB2312"/>
        </w:rPr>
      </w:pPr>
      <w:r>
        <w:rPr>
          <w:rFonts w:hint="eastAsia" w:ascii="仿宋_GB2312" w:hAnsi="仿宋_GB2312" w:eastAsia="仿宋_GB2312" w:cs="仿宋_GB2312"/>
          <w:kern w:val="0"/>
          <w:sz w:val="36"/>
          <w:szCs w:val="36"/>
        </w:rPr>
        <w:t>表二：收入决算表</w:t>
      </w:r>
    </w:p>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单位：万元                     </w:t>
      </w:r>
    </w:p>
    <w:tbl>
      <w:tblPr>
        <w:tblStyle w:val="7"/>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695"/>
        <w:gridCol w:w="1260"/>
        <w:gridCol w:w="1275"/>
        <w:gridCol w:w="1170"/>
        <w:gridCol w:w="1110"/>
        <w:gridCol w:w="1095"/>
        <w:gridCol w:w="106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05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支出功能项目</w:t>
            </w:r>
          </w:p>
        </w:tc>
        <w:tc>
          <w:tcPr>
            <w:tcW w:w="12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本年收入合计</w:t>
            </w:r>
          </w:p>
        </w:tc>
        <w:tc>
          <w:tcPr>
            <w:tcW w:w="12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财政拨款收入</w:t>
            </w:r>
          </w:p>
        </w:tc>
        <w:tc>
          <w:tcPr>
            <w:tcW w:w="117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上级补助收入</w:t>
            </w:r>
          </w:p>
        </w:tc>
        <w:tc>
          <w:tcPr>
            <w:tcW w:w="111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事业收入</w:t>
            </w:r>
          </w:p>
        </w:tc>
        <w:tc>
          <w:tcPr>
            <w:tcW w:w="109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经营收入</w:t>
            </w:r>
          </w:p>
        </w:tc>
        <w:tc>
          <w:tcPr>
            <w:tcW w:w="106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附属单位上缴收入</w:t>
            </w:r>
          </w:p>
        </w:tc>
        <w:tc>
          <w:tcPr>
            <w:tcW w:w="111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支出功能分类科目编码</w:t>
            </w:r>
          </w:p>
        </w:tc>
        <w:tc>
          <w:tcPr>
            <w:tcW w:w="46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科目名称</w:t>
            </w:r>
          </w:p>
        </w:tc>
        <w:tc>
          <w:tcPr>
            <w:tcW w:w="12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7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c>
          <w:tcPr>
            <w:tcW w:w="109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c>
          <w:tcPr>
            <w:tcW w:w="10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1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051" w:type="dxa"/>
            <w:gridSpan w:val="2"/>
            <w:tcBorders>
              <w:tl2br w:val="nil"/>
              <w:tr2bl w:val="nil"/>
            </w:tcBorders>
          </w:tcPr>
          <w:p>
            <w:pPr>
              <w:widowControl/>
              <w:jc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b/>
                <w:bCs/>
                <w:kern w:val="0"/>
                <w:sz w:val="17"/>
                <w:szCs w:val="17"/>
              </w:rPr>
              <w:t>栏次</w:t>
            </w:r>
          </w:p>
        </w:tc>
        <w:tc>
          <w:tcPr>
            <w:tcW w:w="1260"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1</w:t>
            </w:r>
          </w:p>
        </w:tc>
        <w:tc>
          <w:tcPr>
            <w:tcW w:w="1275"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2</w:t>
            </w:r>
          </w:p>
        </w:tc>
        <w:tc>
          <w:tcPr>
            <w:tcW w:w="1170"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3</w:t>
            </w:r>
          </w:p>
        </w:tc>
        <w:tc>
          <w:tcPr>
            <w:tcW w:w="1110"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4</w:t>
            </w:r>
          </w:p>
        </w:tc>
        <w:tc>
          <w:tcPr>
            <w:tcW w:w="1095"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5</w:t>
            </w:r>
          </w:p>
        </w:tc>
        <w:tc>
          <w:tcPr>
            <w:tcW w:w="1065"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6</w:t>
            </w:r>
          </w:p>
        </w:tc>
        <w:tc>
          <w:tcPr>
            <w:tcW w:w="1114" w:type="dxa"/>
            <w:tcBorders>
              <w:tl2br w:val="nil"/>
              <w:tr2bl w:val="nil"/>
            </w:tcBorders>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051" w:type="dxa"/>
            <w:gridSpan w:val="2"/>
            <w:tcBorders>
              <w:tl2br w:val="nil"/>
              <w:tr2bl w:val="nil"/>
            </w:tcBorders>
          </w:tcPr>
          <w:p>
            <w:pPr>
              <w:widowControl/>
              <w:jc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kern w:val="0"/>
                <w:sz w:val="17"/>
                <w:szCs w:val="17"/>
              </w:rPr>
              <w:t>合计</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147.82</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147.82</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2012301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71.95</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71.95</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2012350</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2012399</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44.49</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44.49</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1.59</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1.59</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2080505</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9.74</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9.74</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2080506</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4.31</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4.31</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2101101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2101103</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2210201</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2210203</w:t>
            </w:r>
          </w:p>
        </w:tc>
        <w:tc>
          <w:tcPr>
            <w:tcW w:w="4695"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260"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17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pPr>
              <w:widowControl/>
              <w:ind w:firstLine="180" w:firstLineChars="100"/>
              <w:jc w:val="left"/>
              <w:rPr>
                <w:rFonts w:hint="eastAsia" w:ascii="仿宋_GB2312" w:hAnsi="仿宋_GB2312" w:eastAsia="仿宋_GB2312" w:cs="仿宋_GB2312"/>
                <w:color w:val="000000"/>
                <w:kern w:val="0"/>
                <w:sz w:val="18"/>
                <w:szCs w:val="18"/>
              </w:rPr>
            </w:pPr>
          </w:p>
        </w:tc>
      </w:tr>
    </w:tbl>
    <w:p>
      <w:pPr>
        <w:rPr>
          <w:rFonts w:hint="eastAsia" w:ascii="仿宋_GB2312" w:hAnsi="仿宋_GB2312" w:eastAsia="仿宋_GB2312" w:cs="仿宋_GB2312"/>
        </w:rPr>
      </w:pPr>
      <w:r>
        <w:rPr>
          <w:rFonts w:hint="eastAsia" w:ascii="仿宋_GB2312" w:hAnsi="仿宋_GB2312" w:eastAsia="仿宋_GB2312" w:cs="仿宋_GB2312"/>
        </w:rPr>
        <w:t>注：本表反映部门本年度取得的各项收入情况。</w:t>
      </w:r>
    </w:p>
    <w:p>
      <w:pPr>
        <w:jc w:val="center"/>
        <w:rPr>
          <w:rFonts w:hint="eastAsia" w:ascii="仿宋_GB2312" w:hAnsi="仿宋_GB2312" w:eastAsia="仿宋_GB2312" w:cs="仿宋_GB2312"/>
        </w:rPr>
      </w:pPr>
      <w:r>
        <w:rPr>
          <w:rFonts w:hint="eastAsia" w:ascii="仿宋_GB2312" w:hAnsi="仿宋_GB2312" w:eastAsia="仿宋_GB2312" w:cs="仿宋_GB2312"/>
          <w:kern w:val="0"/>
          <w:sz w:val="36"/>
          <w:szCs w:val="36"/>
        </w:rPr>
        <w:t>表三：支出决算表</w:t>
      </w:r>
    </w:p>
    <w:p>
      <w:pPr>
        <w:jc w:val="right"/>
        <w:rPr>
          <w:rFonts w:hint="eastAsia" w:ascii="仿宋_GB2312" w:hAnsi="仿宋_GB2312" w:eastAsia="仿宋_GB2312" w:cs="仿宋_GB2312"/>
        </w:rPr>
      </w:pPr>
      <w:r>
        <w:rPr>
          <w:rFonts w:hint="eastAsia" w:ascii="仿宋_GB2312" w:hAnsi="仿宋_GB2312" w:eastAsia="仿宋_GB2312" w:cs="仿宋_GB2312"/>
          <w:sz w:val="22"/>
          <w:szCs w:val="22"/>
        </w:rPr>
        <w:t>单位：万元</w:t>
      </w:r>
    </w:p>
    <w:tbl>
      <w:tblPr>
        <w:tblStyle w:val="7"/>
        <w:tblW w:w="14049" w:type="dxa"/>
        <w:jc w:val="center"/>
        <w:tblLayout w:type="fixed"/>
        <w:tblCellMar>
          <w:top w:w="0" w:type="dxa"/>
          <w:left w:w="108" w:type="dxa"/>
          <w:bottom w:w="0" w:type="dxa"/>
          <w:right w:w="108" w:type="dxa"/>
        </w:tblCellMar>
      </w:tblPr>
      <w:tblGrid>
        <w:gridCol w:w="2539"/>
        <w:gridCol w:w="3990"/>
        <w:gridCol w:w="1155"/>
        <w:gridCol w:w="1215"/>
        <w:gridCol w:w="1245"/>
        <w:gridCol w:w="1350"/>
        <w:gridCol w:w="1125"/>
        <w:gridCol w:w="1430"/>
      </w:tblGrid>
      <w:tr>
        <w:tblPrEx>
          <w:tblCellMar>
            <w:top w:w="0" w:type="dxa"/>
            <w:left w:w="108" w:type="dxa"/>
            <w:bottom w:w="0" w:type="dxa"/>
            <w:right w:w="108" w:type="dxa"/>
          </w:tblCellMar>
        </w:tblPrEx>
        <w:trPr>
          <w:trHeight w:val="288"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支出功能项 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本年支出合计</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基本支出</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项目支出</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上缴上级支出</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经营支出</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253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支出功能分类科目编码</w:t>
            </w:r>
          </w:p>
        </w:tc>
        <w:tc>
          <w:tcPr>
            <w:tcW w:w="39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pPr>
              <w:widowControl/>
              <w:ind w:firstLine="1440" w:firstLineChars="9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栏次</w:t>
            </w:r>
          </w:p>
        </w:tc>
        <w:tc>
          <w:tcPr>
            <w:tcW w:w="115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1</w:t>
            </w:r>
          </w:p>
        </w:tc>
        <w:tc>
          <w:tcPr>
            <w:tcW w:w="1215" w:type="dxa"/>
            <w:tcBorders>
              <w:top w:val="nil"/>
              <w:left w:val="nil"/>
              <w:bottom w:val="single" w:color="auto" w:sz="4" w:space="0"/>
              <w:right w:val="single" w:color="auto" w:sz="4" w:space="0"/>
            </w:tcBorders>
          </w:tcPr>
          <w:p>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2</w:t>
            </w:r>
          </w:p>
        </w:tc>
        <w:tc>
          <w:tcPr>
            <w:tcW w:w="1245" w:type="dxa"/>
            <w:tcBorders>
              <w:top w:val="nil"/>
              <w:left w:val="nil"/>
              <w:bottom w:val="single" w:color="auto" w:sz="4" w:space="0"/>
              <w:right w:val="single" w:color="auto" w:sz="4" w:space="0"/>
            </w:tcBorders>
          </w:tcPr>
          <w:p>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3</w:t>
            </w:r>
          </w:p>
        </w:tc>
        <w:tc>
          <w:tcPr>
            <w:tcW w:w="1350"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4</w:t>
            </w:r>
          </w:p>
        </w:tc>
        <w:tc>
          <w:tcPr>
            <w:tcW w:w="1125" w:type="dxa"/>
            <w:tcBorders>
              <w:top w:val="nil"/>
              <w:left w:val="nil"/>
              <w:bottom w:val="single" w:color="auto" w:sz="4" w:space="0"/>
              <w:right w:val="single" w:color="auto" w:sz="4" w:space="0"/>
            </w:tcBorders>
          </w:tcPr>
          <w:p>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5</w:t>
            </w:r>
          </w:p>
        </w:tc>
        <w:tc>
          <w:tcPr>
            <w:tcW w:w="1430" w:type="dxa"/>
            <w:tcBorders>
              <w:top w:val="nil"/>
              <w:left w:val="nil"/>
              <w:bottom w:val="single" w:color="auto" w:sz="4" w:space="0"/>
              <w:right w:val="single" w:color="auto" w:sz="4" w:space="0"/>
            </w:tcBorders>
          </w:tcPr>
          <w:p>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6</w:t>
            </w:r>
          </w:p>
        </w:tc>
      </w:tr>
      <w:tr>
        <w:tblPrEx>
          <w:tblCellMar>
            <w:top w:w="0" w:type="dxa"/>
            <w:left w:w="108" w:type="dxa"/>
            <w:bottom w:w="0" w:type="dxa"/>
            <w:right w:w="108" w:type="dxa"/>
          </w:tblCellMar>
        </w:tblPrEx>
        <w:trPr>
          <w:trHeight w:val="312" w:hRule="exact"/>
          <w:jc w:val="center"/>
        </w:trPr>
        <w:tc>
          <w:tcPr>
            <w:tcW w:w="6529" w:type="dxa"/>
            <w:gridSpan w:val="2"/>
            <w:tcBorders>
              <w:top w:val="single" w:color="auto" w:sz="4" w:space="0"/>
              <w:left w:val="single" w:color="auto" w:sz="4" w:space="0"/>
              <w:bottom w:val="single" w:color="auto" w:sz="4" w:space="0"/>
              <w:right w:val="single" w:color="auto" w:sz="4" w:space="0"/>
            </w:tcBorders>
          </w:tcPr>
          <w:p>
            <w:pPr>
              <w:widowControl/>
              <w:ind w:firstLine="1440" w:firstLineChars="9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109.32</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74.86</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pPr>
              <w:widowControl/>
              <w:ind w:firstLine="320" w:firstLineChars="2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1125" w:type="dxa"/>
            <w:tcBorders>
              <w:top w:val="nil"/>
              <w:left w:val="nil"/>
              <w:bottom w:val="single" w:color="auto" w:sz="4" w:space="0"/>
              <w:right w:val="single" w:color="auto" w:sz="4" w:space="0"/>
            </w:tcBorders>
          </w:tcPr>
          <w:p>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1430" w:type="dxa"/>
            <w:tcBorders>
              <w:top w:val="nil"/>
              <w:left w:val="nil"/>
              <w:bottom w:val="single" w:color="auto" w:sz="4" w:space="0"/>
              <w:right w:val="single" w:color="auto" w:sz="4" w:space="0"/>
            </w:tcBorders>
          </w:tcPr>
          <w:p>
            <w:pPr>
              <w:widowControl/>
              <w:ind w:firstLine="160" w:firstLineChars="1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2012301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2012350</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2012399</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2080505</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2080506</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2101103</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2210201</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2210203</w:t>
            </w:r>
          </w:p>
        </w:tc>
        <w:tc>
          <w:tcPr>
            <w:tcW w:w="39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p>
        </w:tc>
      </w:tr>
    </w:tbl>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注：本表反映部门本年度各项支出情况。</w:t>
      </w:r>
    </w:p>
    <w:p>
      <w:pPr>
        <w:ind w:firstLine="3600" w:firstLineChars="1000"/>
        <w:rPr>
          <w:rFonts w:hint="eastAsia" w:ascii="仿宋_GB2312" w:hAnsi="仿宋_GB2312" w:eastAsia="仿宋_GB2312" w:cs="仿宋_GB2312"/>
        </w:rPr>
      </w:pPr>
      <w:r>
        <w:rPr>
          <w:rFonts w:hint="eastAsia" w:ascii="仿宋_GB2312" w:hAnsi="仿宋_GB2312" w:eastAsia="仿宋_GB2312" w:cs="仿宋_GB2312"/>
          <w:kern w:val="0"/>
          <w:sz w:val="36"/>
          <w:szCs w:val="36"/>
        </w:rPr>
        <w:t>表四：财政拨款收入支出决算总表</w:t>
      </w: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329"/>
        <w:gridCol w:w="645"/>
        <w:gridCol w:w="1006"/>
        <w:gridCol w:w="3372"/>
        <w:gridCol w:w="681"/>
        <w:gridCol w:w="1267"/>
        <w:gridCol w:w="5"/>
        <w:gridCol w:w="1139"/>
        <w:gridCol w:w="1321"/>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2"/>
                <w:szCs w:val="22"/>
              </w:rPr>
              <w:t>收 入</w:t>
            </w:r>
          </w:p>
        </w:tc>
        <w:tc>
          <w:tcPr>
            <w:tcW w:w="7785" w:type="dxa"/>
            <w:gridSpan w:val="6"/>
            <w:tcBorders>
              <w:top w:val="single" w:color="auto" w:sz="4" w:space="0"/>
              <w:left w:val="nil"/>
              <w:bottom w:val="single" w:color="auto" w:sz="4" w:space="0"/>
              <w:right w:val="single" w:color="000000" w:sz="4" w:space="0"/>
            </w:tcBorders>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2"/>
                <w:szCs w:val="22"/>
              </w:rPr>
              <w:t>支 出</w:t>
            </w:r>
          </w:p>
        </w:tc>
      </w:tr>
      <w:tr>
        <w:tblPrEx>
          <w:tblCellMar>
            <w:top w:w="0" w:type="dxa"/>
            <w:left w:w="108" w:type="dxa"/>
            <w:bottom w:w="0" w:type="dxa"/>
            <w:right w:w="108" w:type="dxa"/>
          </w:tblCellMar>
        </w:tblPrEx>
        <w:trPr>
          <w:trHeight w:val="732" w:hRule="atLeast"/>
        </w:trPr>
        <w:tc>
          <w:tcPr>
            <w:tcW w:w="432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 目</w:t>
            </w:r>
          </w:p>
        </w:tc>
        <w:tc>
          <w:tcPr>
            <w:tcW w:w="6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100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14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一般公共预算财政拨款</w:t>
            </w:r>
          </w:p>
        </w:tc>
        <w:tc>
          <w:tcPr>
            <w:tcW w:w="132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政府性基金预算财政拨款</w:t>
            </w:r>
          </w:p>
        </w:tc>
      </w:tr>
      <w:tr>
        <w:trPr>
          <w:trHeight w:val="288" w:hRule="atLeast"/>
        </w:trPr>
        <w:tc>
          <w:tcPr>
            <w:tcW w:w="4329" w:type="dxa"/>
            <w:tcBorders>
              <w:top w:val="nil"/>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栏 次</w:t>
            </w:r>
          </w:p>
        </w:tc>
        <w:tc>
          <w:tcPr>
            <w:tcW w:w="645"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06"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144" w:type="dxa"/>
            <w:gridSpan w:val="2"/>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32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一、一般公共预算财政拨款收入</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89.87</w:t>
            </w:r>
          </w:p>
        </w:tc>
        <w:tc>
          <w:tcPr>
            <w:tcW w:w="114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89.87</w:t>
            </w: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二、政府性基金预算财政拨款收入</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006" w:type="dxa"/>
            <w:tcBorders>
              <w:top w:val="nil"/>
              <w:left w:val="nil"/>
              <w:bottom w:val="single" w:color="auto" w:sz="4" w:space="0"/>
              <w:right w:val="single" w:color="auto" w:sz="4" w:space="0"/>
            </w:tcBorders>
          </w:tcPr>
          <w:p>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二、教育支出</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114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三、社会保障和就业支出</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7.86</w:t>
            </w:r>
          </w:p>
        </w:tc>
        <w:tc>
          <w:tcPr>
            <w:tcW w:w="114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7.86</w:t>
            </w: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四、卫生健康支出</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114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五、住房保障支出</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7.34</w:t>
            </w:r>
          </w:p>
        </w:tc>
        <w:tc>
          <w:tcPr>
            <w:tcW w:w="114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7.34</w:t>
            </w: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27</w:t>
            </w:r>
          </w:p>
        </w:tc>
        <w:tc>
          <w:tcPr>
            <w:tcW w:w="1267" w:type="dxa"/>
            <w:tcBorders>
              <w:top w:val="nil"/>
              <w:left w:val="nil"/>
              <w:bottom w:val="single" w:color="auto" w:sz="4" w:space="0"/>
              <w:right w:val="single" w:color="000000" w:sz="4" w:space="0"/>
            </w:tcBorders>
          </w:tcPr>
          <w:p>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single" w:color="000000" w:sz="4" w:space="0"/>
              <w:bottom w:val="single" w:color="auto" w:sz="4" w:space="0"/>
              <w:right w:val="single" w:color="000000" w:sz="4" w:space="0"/>
            </w:tcBorders>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single" w:color="000000" w:sz="4" w:space="0"/>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006" w:type="dxa"/>
            <w:tcBorders>
              <w:top w:val="nil"/>
              <w:left w:val="nil"/>
              <w:bottom w:val="single" w:color="auto" w:sz="4" w:space="0"/>
              <w:right w:val="single" w:color="auto" w:sz="4" w:space="0"/>
            </w:tcBorders>
          </w:tcPr>
          <w:p>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28</w:t>
            </w:r>
          </w:p>
        </w:tc>
        <w:tc>
          <w:tcPr>
            <w:tcW w:w="1272" w:type="dxa"/>
            <w:gridSpan w:val="2"/>
            <w:tcBorders>
              <w:top w:val="single" w:color="auto" w:sz="4" w:space="0"/>
              <w:left w:val="nil"/>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ind w:firstLine="1540" w:firstLineChars="7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本年收入合计</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372"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29</w:t>
            </w:r>
          </w:p>
        </w:tc>
        <w:tc>
          <w:tcPr>
            <w:tcW w:w="1272"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109.32</w:t>
            </w:r>
          </w:p>
        </w:tc>
        <w:tc>
          <w:tcPr>
            <w:tcW w:w="11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109.32</w:t>
            </w: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年初财政拨款结转和结余</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0.91</w:t>
            </w:r>
          </w:p>
        </w:tc>
        <w:tc>
          <w:tcPr>
            <w:tcW w:w="3372"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30</w:t>
            </w:r>
          </w:p>
        </w:tc>
        <w:tc>
          <w:tcPr>
            <w:tcW w:w="1272"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39.41</w:t>
            </w:r>
          </w:p>
        </w:tc>
        <w:tc>
          <w:tcPr>
            <w:tcW w:w="11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39.41</w:t>
            </w: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ind w:firstLine="1540" w:firstLineChars="7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一般公共预算财政拨款</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14</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0.91</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w:t>
            </w:r>
          </w:p>
        </w:tc>
        <w:tc>
          <w:tcPr>
            <w:tcW w:w="1272" w:type="dxa"/>
            <w:gridSpan w:val="2"/>
            <w:tcBorders>
              <w:top w:val="single" w:color="auto" w:sz="4" w:space="0"/>
              <w:left w:val="nil"/>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ind w:firstLine="1540" w:firstLineChars="7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政府性基金预算财政拨款</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15</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w:t>
            </w:r>
          </w:p>
        </w:tc>
        <w:tc>
          <w:tcPr>
            <w:tcW w:w="1272" w:type="dxa"/>
            <w:gridSpan w:val="2"/>
            <w:tcBorders>
              <w:top w:val="single" w:color="auto" w:sz="4" w:space="0"/>
              <w:left w:val="nil"/>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16</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w:t>
            </w:r>
          </w:p>
        </w:tc>
        <w:tc>
          <w:tcPr>
            <w:tcW w:w="1272" w:type="dxa"/>
            <w:gridSpan w:val="2"/>
            <w:tcBorders>
              <w:top w:val="single" w:color="auto" w:sz="4" w:space="0"/>
              <w:left w:val="nil"/>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6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17</w:t>
            </w:r>
          </w:p>
        </w:tc>
        <w:tc>
          <w:tcPr>
            <w:tcW w:w="1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c>
          <w:tcPr>
            <w:tcW w:w="3372"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w:t>
            </w:r>
          </w:p>
        </w:tc>
        <w:tc>
          <w:tcPr>
            <w:tcW w:w="1272"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148.73</w:t>
            </w:r>
          </w:p>
        </w:tc>
        <w:tc>
          <w:tcPr>
            <w:tcW w:w="11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148.73</w:t>
            </w:r>
          </w:p>
        </w:tc>
        <w:tc>
          <w:tcPr>
            <w:tcW w:w="1321" w:type="dxa"/>
            <w:tcBorders>
              <w:top w:val="single" w:color="auto" w:sz="4" w:space="0"/>
              <w:left w:val="single" w:color="000000" w:sz="4" w:space="0"/>
              <w:bottom w:val="single" w:color="auto" w:sz="4" w:space="0"/>
              <w:right w:val="single" w:color="auto" w:sz="4" w:space="0"/>
            </w:tcBorders>
          </w:tcPr>
          <w:p>
            <w:pPr>
              <w:widowControl/>
              <w:ind w:firstLine="2420" w:firstLineChars="1100"/>
              <w:jc w:val="left"/>
              <w:rPr>
                <w:rFonts w:hint="eastAsia" w:ascii="仿宋_GB2312" w:hAnsi="仿宋_GB2312" w:eastAsia="仿宋_GB2312" w:cs="仿宋_GB2312"/>
                <w:color w:val="000000"/>
                <w:kern w:val="0"/>
                <w:sz w:val="22"/>
                <w:szCs w:val="22"/>
              </w:rPr>
            </w:pPr>
          </w:p>
        </w:tc>
      </w:tr>
    </w:tbl>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单位：万元</w:t>
      </w:r>
    </w:p>
    <w:p>
      <w:pPr>
        <w:rPr>
          <w:rFonts w:hint="eastAsia" w:ascii="仿宋_GB2312" w:hAnsi="仿宋_GB2312" w:eastAsia="仿宋_GB2312" w:cs="仿宋_GB2312"/>
        </w:rPr>
      </w:pPr>
      <w:r>
        <w:rPr>
          <w:rFonts w:hint="eastAsia" w:ascii="仿宋_GB2312" w:hAnsi="仿宋_GB2312" w:eastAsia="仿宋_GB2312" w:cs="仿宋_GB2312"/>
        </w:rPr>
        <w:t>注：本表反映部门本年度一般公共预算财政拨款和政府性基金预算财政拨款的总收支和年末结转结余情况。</w:t>
      </w:r>
    </w:p>
    <w:p>
      <w:pPr>
        <w:rPr>
          <w:rFonts w:hint="eastAsia" w:ascii="仿宋_GB2312" w:hAnsi="仿宋_GB2312" w:eastAsia="仿宋_GB2312" w:cs="仿宋_GB2312"/>
        </w:rPr>
      </w:pPr>
    </w:p>
    <w:p>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表五：</w:t>
      </w:r>
      <w:r>
        <w:rPr>
          <w:rFonts w:hint="eastAsia" w:ascii="仿宋_GB2312" w:hAnsi="仿宋_GB2312" w:eastAsia="仿宋_GB2312" w:cs="仿宋_GB2312"/>
          <w:sz w:val="36"/>
          <w:szCs w:val="36"/>
        </w:rPr>
        <w:t>一般</w:t>
      </w:r>
      <w:r>
        <w:rPr>
          <w:rFonts w:hint="eastAsia" w:ascii="仿宋_GB2312" w:hAnsi="仿宋_GB2312" w:eastAsia="仿宋_GB2312" w:cs="仿宋_GB2312"/>
          <w:kern w:val="0"/>
          <w:sz w:val="36"/>
          <w:szCs w:val="36"/>
        </w:rPr>
        <w:t>公共预算财政拨款支出决算表</w:t>
      </w:r>
    </w:p>
    <w:p>
      <w:pPr>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单位：万元</w:t>
      </w:r>
    </w:p>
    <w:tbl>
      <w:tblPr>
        <w:tblStyle w:val="7"/>
        <w:tblW w:w="13479" w:type="dxa"/>
        <w:jc w:val="center"/>
        <w:tblLayout w:type="fixed"/>
        <w:tblCellMar>
          <w:top w:w="0" w:type="dxa"/>
          <w:left w:w="108" w:type="dxa"/>
          <w:bottom w:w="0" w:type="dxa"/>
          <w:right w:w="108" w:type="dxa"/>
        </w:tblCellMar>
      </w:tblPr>
      <w:tblGrid>
        <w:gridCol w:w="2644"/>
        <w:gridCol w:w="4950"/>
        <w:gridCol w:w="1830"/>
        <w:gridCol w:w="2040"/>
        <w:gridCol w:w="2015"/>
      </w:tblGrid>
      <w:tr>
        <w:tblPrEx>
          <w:tblCellMar>
            <w:top w:w="0" w:type="dxa"/>
            <w:left w:w="108" w:type="dxa"/>
            <w:bottom w:w="0" w:type="dxa"/>
            <w:right w:w="108" w:type="dxa"/>
          </w:tblCellMar>
        </w:tblPrEx>
        <w:trPr>
          <w:trHeight w:val="227" w:hRule="exact"/>
          <w:jc w:val="center"/>
        </w:trPr>
        <w:tc>
          <w:tcPr>
            <w:tcW w:w="75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支出功能项 目</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基本支出</w:t>
            </w:r>
          </w:p>
        </w:tc>
        <w:tc>
          <w:tcPr>
            <w:tcW w:w="20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项目支出</w:t>
            </w:r>
          </w:p>
        </w:tc>
      </w:tr>
      <w:tr>
        <w:tblPrEx>
          <w:tblCellMar>
            <w:top w:w="0" w:type="dxa"/>
            <w:left w:w="108" w:type="dxa"/>
            <w:bottom w:w="0" w:type="dxa"/>
            <w:right w:w="108" w:type="dxa"/>
          </w:tblCellMar>
        </w:tblPrEx>
        <w:trPr>
          <w:trHeight w:val="227" w:hRule="exact"/>
          <w:jc w:val="center"/>
        </w:trPr>
        <w:tc>
          <w:tcPr>
            <w:tcW w:w="2644"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支出功能分类科目编码</w:t>
            </w:r>
          </w:p>
        </w:tc>
        <w:tc>
          <w:tcPr>
            <w:tcW w:w="49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6"/>
                <w:szCs w:val="16"/>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6"/>
                <w:szCs w:val="16"/>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16"/>
                <w:szCs w:val="16"/>
              </w:rPr>
            </w:pPr>
          </w:p>
        </w:tc>
      </w:tr>
      <w:tr>
        <w:tblPrEx>
          <w:tblCellMar>
            <w:top w:w="0" w:type="dxa"/>
            <w:left w:w="108" w:type="dxa"/>
            <w:bottom w:w="0" w:type="dxa"/>
            <w:right w:w="108" w:type="dxa"/>
          </w:tblCellMar>
        </w:tblPrEx>
        <w:trPr>
          <w:trHeight w:val="227" w:hRule="exact"/>
          <w:jc w:val="center"/>
        </w:trPr>
        <w:tc>
          <w:tcPr>
            <w:tcW w:w="7594" w:type="dxa"/>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bCs/>
                <w:kern w:val="0"/>
                <w:sz w:val="16"/>
                <w:szCs w:val="16"/>
              </w:rPr>
              <w:t>栏次</w:t>
            </w:r>
          </w:p>
        </w:tc>
        <w:tc>
          <w:tcPr>
            <w:tcW w:w="1830"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w:t>
            </w:r>
          </w:p>
        </w:tc>
        <w:tc>
          <w:tcPr>
            <w:tcW w:w="2040"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w:t>
            </w:r>
          </w:p>
        </w:tc>
        <w:tc>
          <w:tcPr>
            <w:tcW w:w="201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w:t>
            </w:r>
          </w:p>
        </w:tc>
      </w:tr>
      <w:tr>
        <w:tblPrEx>
          <w:tblCellMar>
            <w:top w:w="0" w:type="dxa"/>
            <w:left w:w="108" w:type="dxa"/>
            <w:bottom w:w="0" w:type="dxa"/>
            <w:right w:w="108" w:type="dxa"/>
          </w:tblCellMar>
        </w:tblPrEx>
        <w:trPr>
          <w:trHeight w:val="312" w:hRule="exact"/>
          <w:jc w:val="center"/>
        </w:trPr>
        <w:tc>
          <w:tcPr>
            <w:tcW w:w="7594" w:type="dxa"/>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109.32</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74.86</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34.46</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2012301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2012350</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2012399</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2080505</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2080506</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2101103</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2210201</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2210203</w:t>
            </w:r>
          </w:p>
        </w:tc>
        <w:tc>
          <w:tcPr>
            <w:tcW w:w="49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2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20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bl>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注：本表反映部门本年度一般公共预算财政拨款实际支出情况。</w:t>
      </w:r>
    </w:p>
    <w:p>
      <w:pPr>
        <w:rPr>
          <w:rFonts w:hint="eastAsia" w:ascii="仿宋_GB2312" w:hAnsi="仿宋_GB2312" w:eastAsia="仿宋_GB2312" w:cs="仿宋_GB2312"/>
        </w:rPr>
      </w:pPr>
    </w:p>
    <w:p>
      <w:pPr>
        <w:rPr>
          <w:rFonts w:hint="eastAsia" w:ascii="仿宋_GB2312" w:hAnsi="仿宋_GB2312" w:eastAsia="仿宋_GB2312" w:cs="仿宋_GB2312"/>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表六</w:t>
      </w:r>
      <w:r>
        <w:rPr>
          <w:rFonts w:hint="eastAsia" w:ascii="仿宋_GB2312" w:hAnsi="仿宋_GB2312" w:eastAsia="仿宋_GB2312" w:cs="仿宋_GB2312"/>
          <w:color w:val="000000"/>
          <w:kern w:val="0"/>
          <w:sz w:val="36"/>
          <w:szCs w:val="36"/>
        </w:rPr>
        <w:t>：</w:t>
      </w:r>
      <w:r>
        <w:rPr>
          <w:rFonts w:hint="eastAsia" w:ascii="仿宋_GB2312" w:hAnsi="仿宋_GB2312" w:eastAsia="仿宋_GB2312" w:cs="仿宋_GB2312"/>
          <w:color w:val="000000"/>
          <w:sz w:val="36"/>
          <w:szCs w:val="36"/>
        </w:rPr>
        <w:t>一般</w:t>
      </w:r>
      <w:r>
        <w:rPr>
          <w:rFonts w:hint="eastAsia" w:ascii="仿宋_GB2312" w:hAnsi="仿宋_GB2312" w:eastAsia="仿宋_GB2312" w:cs="仿宋_GB2312"/>
          <w:color w:val="000000"/>
          <w:kern w:val="0"/>
          <w:sz w:val="36"/>
          <w:szCs w:val="36"/>
        </w:rPr>
        <w:t>公共预算财政拨</w:t>
      </w:r>
      <w:r>
        <w:rPr>
          <w:rFonts w:hint="eastAsia" w:ascii="仿宋_GB2312" w:hAnsi="仿宋_GB2312" w:eastAsia="仿宋_GB2312" w:cs="仿宋_GB2312"/>
          <w:kern w:val="0"/>
          <w:sz w:val="36"/>
          <w:szCs w:val="36"/>
        </w:rPr>
        <w:t>款基本支出决算表</w:t>
      </w:r>
    </w:p>
    <w:p>
      <w:pPr>
        <w:ind w:right="330"/>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单位：万元</w:t>
      </w:r>
    </w:p>
    <w:tbl>
      <w:tblPr>
        <w:tblStyle w:val="7"/>
        <w:tblW w:w="9151" w:type="dxa"/>
        <w:tblInd w:w="93" w:type="dxa"/>
        <w:tblLayout w:type="fixed"/>
        <w:tblCellMar>
          <w:top w:w="0" w:type="dxa"/>
          <w:left w:w="108" w:type="dxa"/>
          <w:bottom w:w="0" w:type="dxa"/>
          <w:right w:w="108" w:type="dxa"/>
        </w:tblCellMar>
      </w:tblPr>
      <w:tblGrid>
        <w:gridCol w:w="803"/>
        <w:gridCol w:w="3615"/>
        <w:gridCol w:w="795"/>
        <w:gridCol w:w="780"/>
        <w:gridCol w:w="2445"/>
        <w:gridCol w:w="713"/>
      </w:tblGrid>
      <w:tr>
        <w:tblPrEx>
          <w:tblCellMar>
            <w:top w:w="0" w:type="dxa"/>
            <w:left w:w="108" w:type="dxa"/>
            <w:bottom w:w="0" w:type="dxa"/>
            <w:right w:w="108" w:type="dxa"/>
          </w:tblCellMar>
        </w:tblPrEx>
        <w:trPr>
          <w:trHeight w:val="564" w:hRule="atLeast"/>
        </w:trPr>
        <w:tc>
          <w:tcPr>
            <w:tcW w:w="521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人员经费</w:t>
            </w:r>
          </w:p>
        </w:tc>
        <w:tc>
          <w:tcPr>
            <w:tcW w:w="393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80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支出经济分类科目编码</w:t>
            </w:r>
          </w:p>
        </w:tc>
        <w:tc>
          <w:tcPr>
            <w:tcW w:w="3615"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科目名称</w:t>
            </w:r>
          </w:p>
        </w:tc>
        <w:tc>
          <w:tcPr>
            <w:tcW w:w="795"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金额</w:t>
            </w:r>
          </w:p>
        </w:tc>
        <w:tc>
          <w:tcPr>
            <w:tcW w:w="78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经济分类科目编码</w:t>
            </w:r>
          </w:p>
        </w:tc>
        <w:tc>
          <w:tcPr>
            <w:tcW w:w="2445"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科目名称</w:t>
            </w:r>
          </w:p>
        </w:tc>
        <w:tc>
          <w:tcPr>
            <w:tcW w:w="71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金额</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工资福利支出</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64.56</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商品和服务支出</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8.86</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30101</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基本工资</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11.29</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办公费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1.20</w:t>
            </w:r>
          </w:p>
        </w:tc>
      </w:tr>
      <w:tr>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30102</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津贴补贴</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8.79</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印刷费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30103</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奖金</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1.07</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30203</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咨询费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30106</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伙食补助费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1.98</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30204</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手续费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30107</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绩效工资</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19.14</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30205</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水费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0.11</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30108</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4.56</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30206</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电费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0.12</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30109</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职业年金缴费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1.73</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30207</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邮电费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1.07</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30110</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职工基本医疗保险缴费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2.39</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30208</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取暖费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30111</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公务员医疗补助缴费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1.86</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物业管理费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30112</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其他社会保障缴费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0.35</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差旅费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1.17</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30113</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7.24</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30212</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因公出国（境）费用</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30114</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医疗费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30213</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维修（护）费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30199</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其他工资福利支出</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4.15</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30214</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租赁费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对个人和家庭的补助</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1.44</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30215</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会议费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30301</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离休费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30216</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培训费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30302</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退休费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1.44</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30217</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公务接待费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30303</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退职（役）费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30218</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专用材料费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30304</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抚恤金</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30224</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被装购置费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30305</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生活补助</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30225</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专用燃料费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30306</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救济费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30226</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劳务费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30307</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医疗费补助</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30227</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委托业务费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30308</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助学金</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30228</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工会经费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1.08</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30309</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奖励金</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福利费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30310</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个人农业生产补贴</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30231</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公务用车运行维护费</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30311</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代缴社会保险费</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30239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其他交通费用</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2.18</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30399</w:t>
            </w: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其他对个人和家庭的补助</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30240</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税金及附加费用</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p>
        </w:tc>
        <w:tc>
          <w:tcPr>
            <w:tcW w:w="361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30299</w:t>
            </w:r>
          </w:p>
        </w:tc>
        <w:tc>
          <w:tcPr>
            <w:tcW w:w="244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其他商品和服务支出</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1.94</w:t>
            </w:r>
          </w:p>
        </w:tc>
      </w:tr>
      <w:tr>
        <w:tblPrEx>
          <w:tblCellMar>
            <w:top w:w="0" w:type="dxa"/>
            <w:left w:w="108" w:type="dxa"/>
            <w:bottom w:w="0" w:type="dxa"/>
            <w:right w:w="108" w:type="dxa"/>
          </w:tblCellMar>
        </w:tblPrEx>
        <w:trPr>
          <w:trHeight w:val="264" w:hRule="atLeast"/>
        </w:trPr>
        <w:tc>
          <w:tcPr>
            <w:tcW w:w="4418" w:type="dxa"/>
            <w:gridSpan w:val="2"/>
            <w:tcBorders>
              <w:top w:val="nil"/>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人员经费合计</w:t>
            </w: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66.00</w:t>
            </w:r>
          </w:p>
        </w:tc>
        <w:tc>
          <w:tcPr>
            <w:tcW w:w="3225" w:type="dxa"/>
            <w:gridSpan w:val="2"/>
            <w:tcBorders>
              <w:top w:val="nil"/>
              <w:left w:val="nil"/>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公用经费合计</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8.86</w:t>
            </w:r>
          </w:p>
        </w:tc>
      </w:tr>
    </w:tbl>
    <w:p>
      <w:pPr>
        <w:rPr>
          <w:rFonts w:hint="eastAsia" w:ascii="仿宋_GB2312" w:hAnsi="仿宋_GB2312" w:eastAsia="仿宋_GB2312" w:cs="仿宋_GB231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rPr>
        <w:t>注：本表反映部门本年度一般公共预算财政拨款基本支出明细情况。</w:t>
      </w:r>
    </w:p>
    <w:p>
      <w:pPr>
        <w:jc w:val="center"/>
        <w:rPr>
          <w:rFonts w:hint="eastAsia" w:ascii="仿宋_GB2312" w:hAnsi="仿宋_GB2312" w:eastAsia="仿宋_GB2312" w:cs="仿宋_GB2312"/>
          <w:kern w:val="0"/>
          <w:sz w:val="36"/>
          <w:szCs w:val="36"/>
        </w:rPr>
      </w:pPr>
    </w:p>
    <w:p>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表七：</w:t>
      </w:r>
      <w:r>
        <w:rPr>
          <w:rFonts w:hint="eastAsia" w:ascii="仿宋_GB2312" w:hAnsi="仿宋_GB2312" w:eastAsia="仿宋_GB2312" w:cs="仿宋_GB2312"/>
          <w:sz w:val="36"/>
          <w:szCs w:val="36"/>
        </w:rPr>
        <w:t>一般</w:t>
      </w:r>
      <w:r>
        <w:rPr>
          <w:rFonts w:hint="eastAsia" w:ascii="仿宋_GB2312" w:hAnsi="仿宋_GB2312" w:eastAsia="仿宋_GB2312" w:cs="仿宋_GB2312"/>
          <w:kern w:val="0"/>
          <w:sz w:val="36"/>
          <w:szCs w:val="36"/>
        </w:rPr>
        <w:t>公共预算财政拨款安排的“三公”经费支出决算表</w:t>
      </w:r>
    </w:p>
    <w:p>
      <w:pPr>
        <w:rPr>
          <w:rFonts w:hint="eastAsia" w:ascii="仿宋_GB2312" w:hAnsi="仿宋_GB2312" w:eastAsia="仿宋_GB2312" w:cs="仿宋_GB2312"/>
        </w:rPr>
      </w:pPr>
    </w:p>
    <w:p>
      <w:pPr>
        <w:jc w:val="right"/>
        <w:rPr>
          <w:rFonts w:hint="eastAsia" w:ascii="仿宋_GB2312" w:hAnsi="仿宋_GB2312" w:eastAsia="仿宋_GB2312" w:cs="仿宋_GB2312"/>
        </w:rPr>
      </w:pPr>
      <w:r>
        <w:rPr>
          <w:rFonts w:hint="eastAsia" w:ascii="仿宋_GB2312" w:hAnsi="仿宋_GB2312" w:eastAsia="仿宋_GB2312" w:cs="仿宋_GB2312"/>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0.20</w:t>
            </w:r>
          </w:p>
        </w:tc>
        <w:tc>
          <w:tcPr>
            <w:tcW w:w="16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0.20</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r>
    </w:tbl>
    <w:p>
      <w:pPr>
        <w:rPr>
          <w:rFonts w:hint="eastAsia" w:ascii="仿宋_GB2312" w:hAnsi="仿宋_GB2312" w:eastAsia="仿宋_GB2312" w:cs="仿宋_GB2312"/>
        </w:rPr>
      </w:pPr>
      <w:r>
        <w:rPr>
          <w:rFonts w:hint="eastAsia" w:ascii="仿宋_GB2312" w:hAnsi="仿宋_GB2312" w:eastAsia="仿宋_GB2312" w:cs="仿宋_GB2312"/>
        </w:rPr>
        <w:t>注：本表反映部门本年度“三公”经费支出预决算情况。其中，2020年度预算数为“三公”经费年初预算数，决算数是包括当年一般公共预算财政拨款和以前年度结转资金安排的实际支出。</w:t>
      </w:r>
    </w:p>
    <w:p>
      <w:pPr>
        <w:pStyle w:val="2"/>
        <w:rPr>
          <w:rFonts w:hint="eastAsia" w:ascii="仿宋_GB2312" w:hAnsi="仿宋_GB2312" w:eastAsia="仿宋_GB2312" w:cs="仿宋_GB2312"/>
        </w:rPr>
      </w:pPr>
    </w:p>
    <w:p>
      <w:pPr>
        <w:rPr>
          <w:rFonts w:hint="eastAsia" w:ascii="仿宋_GB2312" w:hAnsi="仿宋_GB2312" w:eastAsia="仿宋_GB2312" w:cs="仿宋_GB2312"/>
          <w:kern w:val="0"/>
          <w:sz w:val="36"/>
          <w:szCs w:val="36"/>
        </w:rPr>
      </w:pPr>
    </w:p>
    <w:p>
      <w:pPr>
        <w:rPr>
          <w:rFonts w:hint="eastAsia" w:ascii="仿宋_GB2312" w:hAnsi="仿宋_GB2312" w:eastAsia="仿宋_GB2312" w:cs="仿宋_GB2312"/>
          <w:kern w:val="0"/>
          <w:sz w:val="36"/>
          <w:szCs w:val="36"/>
        </w:rPr>
      </w:pPr>
    </w:p>
    <w:p>
      <w:pPr>
        <w:rPr>
          <w:rFonts w:hint="eastAsia" w:ascii="仿宋_GB2312" w:hAnsi="仿宋_GB2312" w:eastAsia="仿宋_GB2312" w:cs="仿宋_GB2312"/>
          <w:kern w:val="0"/>
          <w:sz w:val="36"/>
          <w:szCs w:val="36"/>
        </w:rPr>
      </w:pPr>
    </w:p>
    <w:p>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表八：政府性基金预算财政拨款收入支出决算表</w:t>
      </w:r>
    </w:p>
    <w:p>
      <w:pPr>
        <w:jc w:val="center"/>
        <w:rPr>
          <w:rFonts w:hint="eastAsia" w:ascii="仿宋_GB2312" w:hAnsi="仿宋_GB2312" w:eastAsia="仿宋_GB2312" w:cs="仿宋_GB2312"/>
        </w:rPr>
      </w:pP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单位：万元</w:t>
      </w:r>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hint="eastAsia" w:ascii="仿宋_GB2312" w:hAnsi="仿宋_GB2312" w:eastAsia="仿宋_GB2312" w:cs="仿宋_GB2312"/>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hint="eastAsia" w:ascii="仿宋_GB2312" w:hAnsi="仿宋_GB2312" w:eastAsia="仿宋_GB2312" w:cs="仿宋_GB2312"/>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bl>
    <w:p>
      <w:pPr>
        <w:spacing w:line="560" w:lineRule="exact"/>
        <w:ind w:firstLine="420"/>
        <w:rPr>
          <w:rFonts w:hint="eastAsia" w:ascii="仿宋_GB2312" w:hAnsi="仿宋_GB2312" w:eastAsia="仿宋_GB2312" w:cs="仿宋_GB2312"/>
          <w:lang w:eastAsia="zh-CN"/>
        </w:rPr>
      </w:pPr>
      <w:r>
        <w:rPr>
          <w:rFonts w:hint="eastAsia" w:ascii="仿宋_GB2312" w:hAnsi="仿宋_GB2312" w:eastAsia="仿宋_GB2312" w:cs="仿宋_GB2312"/>
        </w:rPr>
        <w:t>注：</w:t>
      </w:r>
      <w:r>
        <w:rPr>
          <w:rFonts w:hint="eastAsia" w:ascii="仿宋_GB2312" w:hAnsi="仿宋_GB2312" w:eastAsia="仿宋_GB2312" w:cs="仿宋_GB2312"/>
          <w:lang w:eastAsia="zh-CN"/>
        </w:rPr>
        <w:t>柳州市民语中心</w:t>
      </w:r>
      <w:r>
        <w:rPr>
          <w:rFonts w:hint="eastAsia" w:ascii="仿宋_GB2312" w:hAnsi="仿宋_GB2312" w:eastAsia="仿宋_GB2312" w:cs="仿宋_GB2312"/>
        </w:rPr>
        <w:t>没有</w:t>
      </w:r>
      <w:r>
        <w:rPr>
          <w:rFonts w:hint="eastAsia" w:ascii="仿宋_GB2312" w:hAnsi="仿宋_GB2312" w:eastAsia="仿宋_GB2312" w:cs="仿宋_GB2312"/>
          <w:lang w:eastAsia="zh-CN"/>
        </w:rPr>
        <w:t>政府性基金预算财政拨款收入，也没有政府性基金预算财政拨款安排的支出，故本表无数据</w:t>
      </w:r>
    </w:p>
    <w:p>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pPr>
        <w:widowControl/>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val="en-US" w:eastAsia="zh-CN"/>
        </w:rPr>
        <w:t>表九：国有资本经营预算财政拨款支出决算表</w:t>
      </w:r>
    </w:p>
    <w:p>
      <w:pPr>
        <w:pStyle w:val="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i w:val="0"/>
          <w:color w:val="000000"/>
          <w:kern w:val="0"/>
          <w:sz w:val="20"/>
          <w:szCs w:val="20"/>
          <w:highlight w:val="none"/>
          <w:u w:val="none"/>
          <w:lang w:val="en-US" w:eastAsia="zh-CN" w:bidi="ar"/>
        </w:rPr>
        <w:t xml:space="preserve">                                                                                                                       单位：万元</w:t>
      </w: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项 </w:t>
            </w:r>
            <w:r>
              <w:rPr>
                <w:rStyle w:val="19"/>
                <w:rFonts w:hint="eastAsia" w:ascii="仿宋_GB2312" w:hAnsi="仿宋_GB2312" w:eastAsia="仿宋_GB2312" w:cs="仿宋_GB2312"/>
                <w:highlight w:val="none"/>
                <w:lang w:val="en-US" w:eastAsia="zh-CN" w:bidi="ar"/>
              </w:rPr>
              <w:t xml:space="preserve">   </w:t>
            </w:r>
            <w:r>
              <w:rPr>
                <w:rStyle w:val="20"/>
                <w:rFonts w:hint="eastAsia" w:ascii="仿宋_GB2312" w:hAnsi="仿宋_GB2312" w:eastAsia="仿宋_GB2312" w:cs="仿宋_GB2312"/>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highlight w:val="none"/>
                <w:u w:val="none"/>
              </w:rPr>
            </w:pPr>
          </w:p>
        </w:tc>
      </w:tr>
    </w:tbl>
    <w:p>
      <w:pPr>
        <w:spacing w:line="560" w:lineRule="exact"/>
        <w:rPr>
          <w:rFonts w:hint="eastAsia"/>
          <w:b w:val="0"/>
          <w:bCs/>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i w:val="0"/>
          <w:color w:val="000000"/>
          <w:kern w:val="0"/>
          <w:sz w:val="24"/>
          <w:szCs w:val="24"/>
          <w:highlight w:val="none"/>
          <w:u w:val="none"/>
          <w:lang w:val="en-US" w:eastAsia="zh-CN" w:bidi="ar"/>
        </w:rPr>
        <w:t>注：</w:t>
      </w:r>
      <w:r>
        <w:rPr>
          <w:rFonts w:hint="eastAsia" w:ascii="仿宋_GB2312" w:hAnsi="仿宋_GB2312" w:eastAsia="仿宋_GB2312" w:cs="仿宋_GB2312"/>
          <w:b w:val="0"/>
          <w:bCs/>
          <w:sz w:val="24"/>
          <w:szCs w:val="24"/>
          <w:lang w:eastAsia="zh-CN"/>
        </w:rPr>
        <w:t>柳州市民语中心</w:t>
      </w:r>
      <w:r>
        <w:rPr>
          <w:rFonts w:hint="eastAsia" w:ascii="仿宋_GB2312" w:hAnsi="仿宋_GB2312" w:eastAsia="仿宋_GB2312" w:cs="仿宋_GB2312"/>
          <w:b w:val="0"/>
          <w:bCs/>
          <w:sz w:val="24"/>
          <w:szCs w:val="24"/>
        </w:rPr>
        <w:t>没有</w:t>
      </w:r>
      <w:r>
        <w:rPr>
          <w:rFonts w:hint="eastAsia" w:ascii="仿宋_GB2312" w:hAnsi="仿宋_GB2312" w:eastAsia="仿宋_GB2312" w:cs="仿宋_GB2312"/>
          <w:b w:val="0"/>
          <w:bCs/>
          <w:sz w:val="24"/>
          <w:szCs w:val="24"/>
          <w:lang w:val="en-US" w:eastAsia="zh-CN"/>
        </w:rPr>
        <w:t>国有资本经营预算财政拨款</w:t>
      </w:r>
      <w:r>
        <w:rPr>
          <w:rFonts w:hint="eastAsia" w:ascii="仿宋_GB2312" w:hAnsi="仿宋_GB2312" w:eastAsia="仿宋_GB2312" w:cs="仿宋_GB2312"/>
          <w:b w:val="0"/>
          <w:bCs/>
          <w:sz w:val="24"/>
          <w:szCs w:val="24"/>
          <w:lang w:eastAsia="zh-CN"/>
        </w:rPr>
        <w:t>收入，也没有</w:t>
      </w:r>
      <w:r>
        <w:rPr>
          <w:rFonts w:hint="eastAsia" w:ascii="仿宋_GB2312" w:hAnsi="仿宋_GB2312" w:eastAsia="仿宋_GB2312" w:cs="仿宋_GB2312"/>
          <w:b w:val="0"/>
          <w:bCs/>
          <w:sz w:val="24"/>
          <w:szCs w:val="24"/>
          <w:lang w:val="en-US" w:eastAsia="zh-CN"/>
        </w:rPr>
        <w:t>国有资本经营预算财政拨款</w:t>
      </w:r>
      <w:r>
        <w:rPr>
          <w:rFonts w:hint="eastAsia" w:ascii="仿宋_GB2312" w:hAnsi="仿宋_GB2312" w:eastAsia="仿宋_GB2312" w:cs="仿宋_GB2312"/>
          <w:b w:val="0"/>
          <w:bCs/>
          <w:sz w:val="24"/>
          <w:szCs w:val="24"/>
          <w:lang w:eastAsia="zh-CN"/>
        </w:rPr>
        <w:t>安排的支出，故本表无数据</w:t>
      </w:r>
    </w:p>
    <w:p>
      <w:pPr>
        <w:keepNext w:val="0"/>
        <w:keepLines w:val="0"/>
        <w:pageBreakBefore w:val="0"/>
        <w:widowControl w:val="0"/>
        <w:kinsoku/>
        <w:wordWrap/>
        <w:overflowPunct/>
        <w:topLinePunct w:val="0"/>
        <w:bidi w:val="0"/>
        <w:snapToGrid/>
        <w:spacing w:line="580" w:lineRule="exact"/>
        <w:jc w:val="both"/>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柳州市民语中心</w:t>
      </w:r>
      <w:r>
        <w:rPr>
          <w:rFonts w:hint="eastAsia" w:ascii="仿宋_GB2312" w:eastAsia="仿宋_GB2312"/>
          <w:b/>
          <w:sz w:val="32"/>
          <w:szCs w:val="32"/>
        </w:rPr>
        <w:t>2020年度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万元，与2019年相比，收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21.4万元，增长16.93%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68.48</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34.46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31.52</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w:t>
      </w:r>
      <w:r>
        <w:rPr>
          <w:rFonts w:hint="eastAsia" w:ascii="仿宋_GB2312" w:eastAsia="仿宋_GB2312" w:cs="仿宋_GB2312"/>
          <w:bCs/>
          <w:kern w:val="0"/>
          <w:sz w:val="32"/>
          <w:szCs w:val="32"/>
          <w:lang w:eastAsia="zh-CN"/>
        </w:rPr>
        <w:t>入总决算</w:t>
      </w:r>
      <w:r>
        <w:rPr>
          <w:rFonts w:hint="eastAsia" w:ascii="仿宋_GB2312" w:eastAsia="仿宋_GB2312" w:cs="仿宋_GB2312"/>
          <w:bCs/>
          <w:kern w:val="0"/>
          <w:sz w:val="32"/>
          <w:szCs w:val="32"/>
          <w:lang w:val="en-US" w:eastAsia="zh-CN"/>
        </w:rPr>
        <w:t>147.82万元</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总决算</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万元。与 2019 年相比，财政拨款收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21.4万元，增长16.93%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 年相比，财政拨款支出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89.87</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82.21</w:t>
      </w:r>
      <w:r>
        <w:rPr>
          <w:rFonts w:hint="eastAsia" w:ascii="仿宋_GB2312" w:eastAsia="仿宋_GB2312" w:cs="仿宋_GB2312"/>
          <w:bCs/>
          <w:kern w:val="0"/>
          <w:sz w:val="32"/>
          <w:szCs w:val="32"/>
        </w:rPr>
        <w:t>%；社会保障和就业（类） 支出</w:t>
      </w:r>
      <w:r>
        <w:rPr>
          <w:rFonts w:hint="eastAsia" w:ascii="仿宋_GB2312" w:eastAsia="仿宋_GB2312" w:cs="仿宋_GB2312"/>
          <w:bCs/>
          <w:kern w:val="0"/>
          <w:sz w:val="32"/>
          <w:szCs w:val="32"/>
          <w:lang w:val="en-US" w:eastAsia="zh-CN"/>
        </w:rPr>
        <w:t>7.86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7.19</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4.25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3.89</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7.34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6.71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73.95</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rPr>
        <w:t xml:space="preserve">。其中：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1.一般公共服务（类）民族事务（款）行政运行（项）。 年初预算为</w:t>
      </w:r>
      <w:r>
        <w:rPr>
          <w:rFonts w:hint="eastAsia" w:ascii="仿宋_GB2312" w:eastAsia="仿宋_GB2312" w:cs="仿宋_GB2312"/>
          <w:bCs/>
          <w:kern w:val="0"/>
          <w:sz w:val="32"/>
          <w:szCs w:val="32"/>
          <w:lang w:val="en-US" w:eastAsia="zh-CN"/>
        </w:rPr>
        <w:t>71.95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51.26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71.24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2.一般公共服务（类）民族事务（款）事业运行（项）。年初预算为</w:t>
      </w:r>
      <w:r>
        <w:rPr>
          <w:rFonts w:hint="eastAsia" w:ascii="仿宋_GB2312" w:eastAsia="仿宋_GB2312" w:cs="仿宋_GB2312"/>
          <w:bCs/>
          <w:kern w:val="0"/>
          <w:sz w:val="32"/>
          <w:szCs w:val="32"/>
          <w:lang w:val="en-US" w:eastAsia="zh-CN"/>
        </w:rPr>
        <w:t>4.15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4.15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.一般公共服务（类）民族事务（款）其他民族事务支出（项）。年初预算为</w:t>
      </w:r>
      <w:r>
        <w:rPr>
          <w:rFonts w:hint="eastAsia" w:ascii="仿宋_GB2312" w:eastAsia="仿宋_GB2312" w:cs="仿宋_GB2312"/>
          <w:bCs/>
          <w:kern w:val="0"/>
          <w:sz w:val="32"/>
          <w:szCs w:val="32"/>
          <w:lang w:val="en-US" w:eastAsia="zh-CN"/>
        </w:rPr>
        <w:t>44.49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34.46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77.46</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.社会保障和就业支出（类）行政事业单位养老支出（款）行政单位离退休（项）。年初预算为</w:t>
      </w:r>
      <w:r>
        <w:rPr>
          <w:rFonts w:hint="eastAsia" w:ascii="仿宋_GB2312" w:eastAsia="仿宋_GB2312" w:cs="仿宋_GB2312"/>
          <w:bCs/>
          <w:kern w:val="0"/>
          <w:sz w:val="32"/>
          <w:szCs w:val="32"/>
          <w:lang w:val="en-US" w:eastAsia="zh-CN"/>
        </w:rPr>
        <w:t>1.59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98.74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因人员调整离退休经费支出存在差额</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9.74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4.56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46.82</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因人员调整养老保险支出存在差额</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4.31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40.14</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因人员调整</w:t>
      </w:r>
      <w:r>
        <w:rPr>
          <w:rFonts w:hint="eastAsia" w:ascii="仿宋_GB2312" w:eastAsia="仿宋_GB2312" w:cs="仿宋_GB2312"/>
          <w:bCs/>
          <w:kern w:val="0"/>
          <w:sz w:val="32"/>
          <w:szCs w:val="32"/>
          <w:lang w:val="en-US" w:eastAsia="zh-CN"/>
        </w:rPr>
        <w:t>机关事业单位职业年金</w:t>
      </w:r>
      <w:r>
        <w:rPr>
          <w:rFonts w:hint="eastAsia" w:ascii="仿宋_GB2312" w:eastAsia="仿宋_GB2312" w:cs="仿宋_GB2312"/>
          <w:bCs/>
          <w:kern w:val="0"/>
          <w:sz w:val="32"/>
          <w:szCs w:val="32"/>
          <w:lang w:eastAsia="zh-CN"/>
        </w:rPr>
        <w:t>支出存在差额</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cs="仿宋_GB2312"/>
          <w:bCs/>
          <w:kern w:val="0"/>
          <w:sz w:val="32"/>
          <w:szCs w:val="32"/>
          <w:lang w:val="en-US" w:eastAsia="zh-CN"/>
        </w:rPr>
        <w:t>2.39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.卫生健康支出（类）行政事业单位医疗（款）公务员医疗补助（项）。年初预算为</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7.24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.住房保障支出（类）住房改革支出（款）购房补贴（项）。年初预算为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bCs w:val="0"/>
          <w:kern w:val="0"/>
          <w:sz w:val="32"/>
          <w:szCs w:val="32"/>
        </w:rPr>
        <w:t>六、2020年度一</w:t>
      </w:r>
      <w:r>
        <w:rPr>
          <w:rFonts w:hint="eastAsia" w:ascii="仿宋_GB2312" w:eastAsia="仿宋_GB2312" w:cs="仿宋_GB2312"/>
          <w:b/>
          <w:kern w:val="0"/>
          <w:sz w:val="32"/>
          <w:szCs w:val="32"/>
        </w:rPr>
        <w:t>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66</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其他社会保障缴费、其他工资福利支出、 退休费、抚恤金、住房公积金；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8.86</w:t>
      </w:r>
      <w:r>
        <w:rPr>
          <w:rFonts w:hint="eastAsia" w:ascii="仿宋_GB2312" w:eastAsia="仿宋_GB2312" w:cs="仿宋_GB2312"/>
          <w:bCs/>
          <w:kern w:val="0"/>
          <w:sz w:val="32"/>
          <w:szCs w:val="32"/>
        </w:rPr>
        <w:t>万元，主要 包括：办公费、印刷费、水费、电费、邮电费、差旅费、维修（护）费、会议费、公务接待费、工会经费、福利费、公务用车运行维护费、其他交通费用、其他商品和服务支出</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Cs/>
          <w:kern w:val="0"/>
          <w:sz w:val="32"/>
          <w:szCs w:val="32"/>
        </w:rPr>
      </w:pPr>
      <w:r>
        <w:rPr>
          <w:rFonts w:hint="eastAsia" w:ascii="仿宋_GB2312" w:eastAsia="仿宋_GB2312" w:cs="仿宋_GB2312"/>
          <w:b/>
          <w:bCs w:val="0"/>
          <w:kern w:val="0"/>
          <w:sz w:val="32"/>
          <w:szCs w:val="32"/>
        </w:rPr>
        <w:t>七、2</w:t>
      </w:r>
      <w:r>
        <w:rPr>
          <w:rFonts w:hint="eastAsia" w:ascii="仿宋_GB2312" w:eastAsia="仿宋_GB2312" w:cs="仿宋_GB2312"/>
          <w:b/>
          <w:kern w:val="0"/>
          <w:sz w:val="32"/>
          <w:szCs w:val="32"/>
        </w:rPr>
        <w:t>020 年度一般公共预算财政拨款“三公” 经费支出决算情况</w:t>
      </w:r>
      <w:r>
        <w:rPr>
          <w:rFonts w:hint="eastAsia" w:ascii="仿宋_GB2312" w:eastAsia="仿宋_GB2312" w:cs="仿宋_GB2312"/>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%。2020年度“三公”经费支出决算数小于预算数的主要原因是认真贯彻落实中央“八项规定”精神和厉行节约要求，进一步从严控制“三公”经费开支，全年实际支出比预算有所节约（根据实际情况作原因陈述）</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 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以上年持平</w:t>
      </w:r>
      <w:r>
        <w:rPr>
          <w:rFonts w:hint="eastAsia" w:ascii="仿宋_GB2312" w:eastAsia="仿宋_GB2312" w:cs="仿宋_GB2312"/>
          <w:bCs/>
          <w:kern w:val="0"/>
          <w:sz w:val="32"/>
          <w:szCs w:val="32"/>
        </w:rPr>
        <w:t>；公务接待费支出减少的主要原因是认真贯彻落实中央“八项规定”精神和厉行节约要求，进一步从严控制“三公”经费开支，全年实际支出比预算有所节约。</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人次。开支内容包括：</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无。</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万元。与2019年相比，收、支总计各增加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%。其中，支出情况为：</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%，决算大于（小于）预算数主要原因：一是年中追加安排财政拨款支出预算，涉及项目有</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；二是部分支出按规定，通过使用以前年度财政拨款结转资金解决。其中：</w:t>
      </w: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1.城乡社区支出（类）政府住房基金及对应专项债务收入安排支出（款）费用支出（项）。年初预算为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持平</w:t>
      </w:r>
      <w:r>
        <w:rPr>
          <w:rFonts w:hint="eastAsia" w:ascii="仿宋_GB2312" w:eastAsia="仿宋_GB2312" w:cs="仿宋_GB2312"/>
          <w:bCs/>
          <w:kern w:val="0"/>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（一）</w:t>
      </w:r>
      <w:r>
        <w:rPr>
          <w:rFonts w:hint="eastAsia" w:ascii="仿宋_GB2312" w:hAnsi="Times New Roman" w:eastAsia="仿宋_GB2312" w:cs="仿宋_GB2312"/>
          <w:kern w:val="0"/>
          <w:sz w:val="32"/>
          <w:szCs w:val="32"/>
        </w:rPr>
        <w:t>绩效管理工作开展情况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xml:space="preserve"> 根据财政预算管理要求，我部门</w:t>
      </w:r>
      <w:r>
        <w:rPr>
          <w:rFonts w:hint="eastAsia" w:ascii="仿宋_GB2312" w:eastAsia="仿宋_GB2312" w:cs="仿宋_GB2312"/>
          <w:kern w:val="0"/>
          <w:sz w:val="32"/>
          <w:szCs w:val="32"/>
          <w:lang w:eastAsia="zh-CN"/>
        </w:rPr>
        <w:t>不</w:t>
      </w:r>
      <w:r>
        <w:rPr>
          <w:rFonts w:hint="eastAsia" w:ascii="仿宋_GB2312" w:hAnsi="Times New Roman" w:eastAsia="仿宋_GB2312" w:cs="仿宋_GB2312"/>
          <w:kern w:val="0"/>
          <w:sz w:val="32"/>
          <w:szCs w:val="32"/>
        </w:rPr>
        <w:t>组织对2020年度一般公共预算项目支出全面开展绩效自评。其中，一级项目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个，共涉及预算资金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万元，自评覆盖率达到</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hAnsi="Times New Roman" w:eastAsia="仿宋_GB2312" w:cs="仿宋_GB2312"/>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w:t>
      </w:r>
      <w:r>
        <w:rPr>
          <w:rFonts w:hint="eastAsia" w:ascii="仿宋_GB2312" w:eastAsia="仿宋_GB2312" w:cs="仿宋_GB2312"/>
          <w:kern w:val="0"/>
          <w:sz w:val="32"/>
          <w:szCs w:val="32"/>
          <w:lang w:eastAsia="zh-CN"/>
        </w:rPr>
        <w:t>单位决算</w:t>
      </w:r>
      <w:r>
        <w:rPr>
          <w:rFonts w:hint="eastAsia" w:ascii="仿宋_GB2312" w:hAnsi="Times New Roman" w:eastAsia="仿宋_GB2312" w:cs="仿宋_GB2312"/>
          <w:kern w:val="0"/>
          <w:sz w:val="32"/>
          <w:szCs w:val="32"/>
        </w:rPr>
        <w:t>中项目绩效自评结果。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我部门根据年初</w:t>
      </w:r>
      <w:r>
        <w:rPr>
          <w:rFonts w:hint="eastAsia" w:ascii="仿宋_GB2312" w:eastAsia="仿宋_GB2312" w:cs="仿宋_GB2312"/>
          <w:kern w:val="0"/>
          <w:sz w:val="32"/>
          <w:szCs w:val="32"/>
          <w:lang w:eastAsia="zh-CN"/>
        </w:rPr>
        <w:t>没有</w:t>
      </w:r>
      <w:r>
        <w:rPr>
          <w:rFonts w:hint="eastAsia" w:ascii="仿宋_GB2312" w:hAnsi="Times New Roman" w:eastAsia="仿宋_GB2312" w:cs="仿宋_GB2312"/>
          <w:kern w:val="0"/>
          <w:sz w:val="32"/>
          <w:szCs w:val="32"/>
        </w:rPr>
        <w:t>设定的绩效目标。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8.86</w:t>
      </w:r>
      <w:r>
        <w:rPr>
          <w:rFonts w:hint="eastAsia" w:ascii="仿宋_GB2312" w:eastAsia="仿宋_GB2312" w:cs="仿宋_GB2312"/>
          <w:kern w:val="0"/>
          <w:sz w:val="32"/>
          <w:szCs w:val="32"/>
        </w:rPr>
        <w:t>万元，比 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1.87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17.43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是人员减少</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keepNext w:val="0"/>
        <w:keepLines w:val="0"/>
        <w:pageBreakBefore w:val="0"/>
        <w:widowControl w:val="0"/>
        <w:kinsoku/>
        <w:wordWrap/>
        <w:overflowPunct/>
        <w:topLinePunct w:val="0"/>
        <w:bidi w:val="0"/>
        <w:snapToGrid/>
        <w:spacing w:line="580" w:lineRule="exact"/>
        <w:ind w:firstLine="645"/>
        <w:jc w:val="both"/>
        <w:textAlignment w:val="auto"/>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00002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- 13 -</w:t>
    </w:r>
    <w:r>
      <w:rPr>
        <w:sz w:val="30"/>
        <w:szCs w:val="3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VjOTQ4NWIyMDA3ODcwZjdlZGI4MmM5MmFmMTUifQ=="/>
  </w:docVars>
  <w:rsids>
    <w:rsidRoot w:val="4C256E3D"/>
    <w:rsid w:val="00066CA3"/>
    <w:rsid w:val="006C1367"/>
    <w:rsid w:val="006D34D9"/>
    <w:rsid w:val="00715385"/>
    <w:rsid w:val="00F66C5B"/>
    <w:rsid w:val="02A95FED"/>
    <w:rsid w:val="02FC485D"/>
    <w:rsid w:val="07EF4026"/>
    <w:rsid w:val="0AFA124A"/>
    <w:rsid w:val="0E074DDF"/>
    <w:rsid w:val="124204B5"/>
    <w:rsid w:val="1487338A"/>
    <w:rsid w:val="17B17800"/>
    <w:rsid w:val="182962AB"/>
    <w:rsid w:val="19D073EB"/>
    <w:rsid w:val="1CB67D89"/>
    <w:rsid w:val="1CC31F67"/>
    <w:rsid w:val="1DFA3DF8"/>
    <w:rsid w:val="22AD5D99"/>
    <w:rsid w:val="247E225B"/>
    <w:rsid w:val="24D337DC"/>
    <w:rsid w:val="24E403C8"/>
    <w:rsid w:val="26460DBA"/>
    <w:rsid w:val="28A63488"/>
    <w:rsid w:val="2AD07E3B"/>
    <w:rsid w:val="2B6F74EB"/>
    <w:rsid w:val="2BDA73F4"/>
    <w:rsid w:val="2C4219FE"/>
    <w:rsid w:val="2C7315C9"/>
    <w:rsid w:val="2CAF310B"/>
    <w:rsid w:val="2ED71FB6"/>
    <w:rsid w:val="314F10E9"/>
    <w:rsid w:val="32EA4710"/>
    <w:rsid w:val="34020F86"/>
    <w:rsid w:val="388B0670"/>
    <w:rsid w:val="39A63F06"/>
    <w:rsid w:val="3B4302E9"/>
    <w:rsid w:val="3B4B0E2A"/>
    <w:rsid w:val="3E1277D8"/>
    <w:rsid w:val="3ED1439F"/>
    <w:rsid w:val="425713F4"/>
    <w:rsid w:val="45533EEE"/>
    <w:rsid w:val="48374EDC"/>
    <w:rsid w:val="48B516FF"/>
    <w:rsid w:val="49994BDA"/>
    <w:rsid w:val="4AD70D01"/>
    <w:rsid w:val="4C256E3D"/>
    <w:rsid w:val="4CB52F0F"/>
    <w:rsid w:val="514B5A71"/>
    <w:rsid w:val="530A28B7"/>
    <w:rsid w:val="532F1F9A"/>
    <w:rsid w:val="53A63BE5"/>
    <w:rsid w:val="58763056"/>
    <w:rsid w:val="5E995A3E"/>
    <w:rsid w:val="5F97747C"/>
    <w:rsid w:val="6036330D"/>
    <w:rsid w:val="62163194"/>
    <w:rsid w:val="624D024D"/>
    <w:rsid w:val="650E086A"/>
    <w:rsid w:val="65126BA2"/>
    <w:rsid w:val="69700F03"/>
    <w:rsid w:val="6A492B88"/>
    <w:rsid w:val="6BAA0708"/>
    <w:rsid w:val="6D7D7297"/>
    <w:rsid w:val="6FAA379E"/>
    <w:rsid w:val="74695768"/>
    <w:rsid w:val="755D0B73"/>
    <w:rsid w:val="782977BA"/>
    <w:rsid w:val="791C2384"/>
    <w:rsid w:val="79CE3EC6"/>
    <w:rsid w:val="7C48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Emphasis"/>
    <w:basedOn w:val="8"/>
    <w:qFormat/>
    <w:uiPriority w:val="0"/>
  </w:style>
  <w:style w:type="character" w:styleId="13">
    <w:name w:val="HTML Definition"/>
    <w:basedOn w:val="8"/>
    <w:qFormat/>
    <w:uiPriority w:val="0"/>
    <w:rPr>
      <w:i/>
    </w:rPr>
  </w:style>
  <w:style w:type="character" w:styleId="14">
    <w:name w:val="Hyperlink"/>
    <w:basedOn w:val="8"/>
    <w:qFormat/>
    <w:uiPriority w:val="0"/>
    <w:rPr>
      <w:color w:val="333333"/>
      <w:u w:val="none"/>
    </w:rPr>
  </w:style>
  <w:style w:type="character" w:styleId="15">
    <w:name w:val="HTML Code"/>
    <w:basedOn w:val="8"/>
    <w:qFormat/>
    <w:uiPriority w:val="0"/>
    <w:rPr>
      <w:rFonts w:ascii="Consolas" w:hAnsi="Consolas" w:eastAsia="Consolas" w:cs="Consolas"/>
      <w:color w:val="C7254E"/>
      <w:sz w:val="21"/>
      <w:szCs w:val="21"/>
      <w:shd w:val="clear" w:fill="F9F2F4"/>
    </w:rPr>
  </w:style>
  <w:style w:type="character" w:styleId="16">
    <w:name w:val="HTML Keyboard"/>
    <w:basedOn w:val="8"/>
    <w:qFormat/>
    <w:uiPriority w:val="0"/>
    <w:rPr>
      <w:rFonts w:hint="default" w:ascii="Consolas" w:hAnsi="Consolas" w:eastAsia="Consolas" w:cs="Consolas"/>
      <w:color w:val="FFFFFF"/>
      <w:sz w:val="21"/>
      <w:szCs w:val="21"/>
      <w:shd w:val="clear" w:fill="333333"/>
    </w:rPr>
  </w:style>
  <w:style w:type="character" w:styleId="17">
    <w:name w:val="HTML Sample"/>
    <w:basedOn w:val="8"/>
    <w:uiPriority w:val="0"/>
    <w:rPr>
      <w:rFonts w:hint="default" w:ascii="Consolas" w:hAnsi="Consolas" w:eastAsia="Consolas" w:cs="Consolas"/>
      <w:sz w:val="21"/>
      <w:szCs w:val="21"/>
    </w:rPr>
  </w:style>
  <w:style w:type="character" w:customStyle="1" w:styleId="18">
    <w:name w:val="批注框文本 Char"/>
    <w:basedOn w:val="8"/>
    <w:link w:val="3"/>
    <w:qFormat/>
    <w:uiPriority w:val="0"/>
    <w:rPr>
      <w:kern w:val="2"/>
      <w:sz w:val="18"/>
      <w:szCs w:val="18"/>
    </w:rPr>
  </w:style>
  <w:style w:type="character" w:customStyle="1" w:styleId="19">
    <w:name w:val="font11"/>
    <w:basedOn w:val="8"/>
    <w:qFormat/>
    <w:uiPriority w:val="0"/>
    <w:rPr>
      <w:rFonts w:hint="eastAsia" w:ascii="宋体" w:hAnsi="宋体" w:eastAsia="宋体" w:cs="宋体"/>
      <w:color w:val="000000"/>
      <w:sz w:val="22"/>
      <w:szCs w:val="22"/>
      <w:u w:val="none"/>
    </w:rPr>
  </w:style>
  <w:style w:type="character" w:customStyle="1" w:styleId="20">
    <w:name w:val="font01"/>
    <w:basedOn w:val="8"/>
    <w:qFormat/>
    <w:uiPriority w:val="0"/>
    <w:rPr>
      <w:rFonts w:hint="eastAsia" w:ascii="宋体" w:hAnsi="宋体" w:eastAsia="宋体" w:cs="宋体"/>
      <w:color w:val="000000"/>
      <w:sz w:val="24"/>
      <w:szCs w:val="24"/>
      <w:u w:val="none"/>
    </w:rPr>
  </w:style>
  <w:style w:type="paragraph" w:customStyle="1" w:styleId="21">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7409</Words>
  <Characters>9207</Characters>
  <Lines>60</Lines>
  <Paragraphs>17</Paragraphs>
  <TotalTime>2</TotalTime>
  <ScaleCrop>false</ScaleCrop>
  <LinksUpToDate>false</LinksUpToDate>
  <CharactersWithSpaces>10014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wyj </cp:lastModifiedBy>
  <cp:lastPrinted>2021-08-23T08:13:00Z</cp:lastPrinted>
  <dcterms:modified xsi:type="dcterms:W3CDTF">2022-09-06T12:49:20Z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97B6C46B88F444128AAB722554244A9E</vt:lpwstr>
  </property>
</Properties>
</file>